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tbl>
      <w:tblPr>
        <w:tblStyle w:val="Tabela-Siatka"/>
        <w:tblW w:w="8918" w:type="dxa"/>
        <w:jc w:val="left"/>
        <w:tblInd w:w="0" w:type="dxa"/>
        <w:tblCellMar>
          <w:top w:w="113" w:type="dxa"/>
          <w:left w:w="108" w:type="dxa"/>
          <w:bottom w:w="113" w:type="dxa"/>
          <w:right w:w="108" w:type="dxa"/>
        </w:tblCellMar>
        <w:tblLook w:firstRow="1" w:noVBand="1" w:lastRow="0" w:firstColumn="1" w:lastColumn="0" w:noHBand="0" w:val="04a0"/>
      </w:tblPr>
      <w:tblGrid>
        <w:gridCol w:w="2296"/>
        <w:gridCol w:w="6621"/>
      </w:tblGrid>
      <w:tr>
        <w:trPr>
          <w:tblHeader w:val="true"/>
        </w:trPr>
        <w:tc>
          <w:tcPr>
            <w:tcW w:w="8917" w:type="dxa"/>
            <w:gridSpan w:val="2"/>
            <w:tcBorders/>
            <w:shd w:color="auto" w:fill="D9D9D9" w:themeFill="background1" w:themeFillShade="d9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  <w:t xml:space="preserve">Klauzula informacyjna dot. przetwarzania danych osobowych </w:t>
              <w:br/>
              <w:t xml:space="preserve">w związku z ustawą z dnia 5 stycznia 2011 r.  </w:t>
            </w:r>
            <w:r>
              <w:rPr>
                <w:rFonts w:cs="Arial" w:ascii="Arial" w:hAnsi="Arial"/>
                <w:b/>
                <w:i/>
                <w:sz w:val="18"/>
                <w:szCs w:val="18"/>
              </w:rPr>
              <w:t>Kodeks wyborczy</w:t>
            </w:r>
            <w:r>
              <w:rPr>
                <w:rFonts w:cs="Arial" w:ascii="Arial" w:hAnsi="Arial"/>
                <w:b/>
                <w:sz w:val="18"/>
                <w:szCs w:val="18"/>
              </w:rPr>
              <w:t xml:space="preserve"> </w:t>
            </w:r>
          </w:p>
        </w:tc>
      </w:tr>
      <w:tr>
        <w:trPr/>
        <w:tc>
          <w:tcPr>
            <w:tcW w:w="2296" w:type="dxa"/>
            <w:tcBorders/>
            <w:shd w:color="auto" w:fill="D9D9D9" w:themeFill="background1" w:themeFillShade="d9" w:val="clear"/>
          </w:tcPr>
          <w:p>
            <w:pPr>
              <w:pStyle w:val="Normal"/>
              <w:spacing w:lineRule="auto" w:line="240" w:before="0" w:after="0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  <w:t>TOŻSAMOŚĆ ADMINISTRATORA</w:t>
            </w:r>
          </w:p>
        </w:tc>
        <w:tc>
          <w:tcPr>
            <w:tcW w:w="6621" w:type="dxa"/>
            <w:tcBorders/>
            <w:shd w:fill="auto" w:val="clear"/>
          </w:tcPr>
          <w:p>
            <w:pPr>
              <w:pStyle w:val="Normal"/>
              <w:spacing w:lineRule="auto" w:line="276" w:before="0" w:after="0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Administratorami są:</w:t>
            </w:r>
          </w:p>
          <w:p>
            <w:pPr>
              <w:pStyle w:val="ListParagraph"/>
              <w:numPr>
                <w:ilvl w:val="0"/>
                <w:numId w:val="2"/>
              </w:numPr>
              <w:spacing w:lineRule="auto" w:line="276" w:before="0" w:after="0"/>
              <w:contextualSpacing/>
              <w:jc w:val="both"/>
              <w:rPr/>
            </w:pPr>
            <w:r>
              <w:rPr>
                <w:rFonts w:cs="Arial" w:ascii="Arial" w:hAnsi="Arial"/>
                <w:sz w:val="18"/>
                <w:szCs w:val="18"/>
              </w:rPr>
              <w:t xml:space="preserve">Prezydent Miasta Zamość (ul. Rynek Wielki 12, 22-400 Zamość, tel. 84 677 23 00) – w zakresie rejestracji w Centralnym Rejestrze Wyborców danych wpływających na realizację prawa wybierania i przechowywanej przez Wójta/Burmistrza/Prezydenta miasta dokumentacji pisemnej; </w:t>
            </w:r>
          </w:p>
          <w:p>
            <w:pPr>
              <w:pStyle w:val="ListParagraph"/>
              <w:numPr>
                <w:ilvl w:val="0"/>
                <w:numId w:val="2"/>
              </w:numPr>
              <w:spacing w:lineRule="auto" w:line="276" w:before="0" w:after="0"/>
              <w:contextualSpacing/>
              <w:jc w:val="both"/>
              <w:rPr/>
            </w:pPr>
            <w:r>
              <w:rPr>
                <w:rFonts w:cs="Arial" w:ascii="Arial" w:hAnsi="Arial"/>
                <w:sz w:val="18"/>
                <w:szCs w:val="18"/>
              </w:rPr>
              <w:t xml:space="preserve">Konsul RP – w zakresie rejestracji w Centralnym Rejestrze Wyborców danych co do adresu przebywania w stosunku do wyborców głosujących poza granicami kraju oraz przechowywanej przez Konsula dokumentacji pisemnej; </w:t>
            </w:r>
          </w:p>
          <w:p>
            <w:pPr>
              <w:pStyle w:val="ListParagraph"/>
              <w:numPr>
                <w:ilvl w:val="0"/>
                <w:numId w:val="2"/>
              </w:numPr>
              <w:spacing w:lineRule="auto" w:line="276" w:before="0" w:after="0"/>
              <w:contextualSpacing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Minister Cyfryzacji, mający siedzibę w Warszawie (00-060) przy ul. Królewskiej 27 – odpowiada za utrzymanie i rozwój Centralnego Rejestru Wyborców oraz aktualizuje informacje o zgłoszeniu chęci głosowania w wyborach do Parlamentu Europejskiego przeprowadzanych przez inne państwo członkowskie Unii Europejskiej;</w:t>
            </w:r>
          </w:p>
          <w:p>
            <w:pPr>
              <w:pStyle w:val="ListParagraph"/>
              <w:numPr>
                <w:ilvl w:val="0"/>
                <w:numId w:val="2"/>
              </w:numPr>
              <w:spacing w:lineRule="auto" w:line="276" w:before="0" w:after="0"/>
              <w:contextualSpacing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 xml:space="preserve">Minister Spraw Zagranicznych mający siedzibę w Warszawie (00-580) przy ul. J.Ch. Szucha 23  – zapewnia funkcjonowanie poza granicami kraju wydzielonej sieci umożliwiającej konsulom dostęp do Centralnego Rejestru Wyborców. </w:t>
            </w:r>
          </w:p>
          <w:p>
            <w:pPr>
              <w:pStyle w:val="ListParagraph"/>
              <w:spacing w:lineRule="auto" w:line="276" w:before="0" w:after="0"/>
              <w:contextualSpacing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</w:tr>
      <w:tr>
        <w:trPr/>
        <w:tc>
          <w:tcPr>
            <w:tcW w:w="2296" w:type="dxa"/>
            <w:tcBorders/>
            <w:shd w:color="auto" w:fill="D9D9D9" w:themeFill="background1" w:themeFillShade="d9" w:val="clear"/>
          </w:tcPr>
          <w:p>
            <w:pPr>
              <w:pStyle w:val="Normal"/>
              <w:spacing w:lineRule="auto" w:line="240" w:before="0" w:after="0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  <w:t>DANE KONTAKTOWE ADMINISTRATORA</w:t>
            </w:r>
          </w:p>
        </w:tc>
        <w:tc>
          <w:tcPr>
            <w:tcW w:w="6621" w:type="dxa"/>
            <w:tcBorders/>
            <w:shd w:fill="auto" w:val="clear"/>
          </w:tcPr>
          <w:p>
            <w:pPr>
              <w:pStyle w:val="ListParagraph"/>
              <w:spacing w:lineRule="auto" w:line="276" w:before="0" w:after="0"/>
              <w:ind w:left="0" w:hanging="0"/>
              <w:contextualSpacing/>
              <w:jc w:val="both"/>
              <w:rPr/>
            </w:pPr>
            <w:r>
              <w:rPr>
                <w:rFonts w:cs="Arial" w:ascii="Arial" w:hAnsi="Arial"/>
                <w:sz w:val="18"/>
                <w:szCs w:val="18"/>
              </w:rPr>
              <w:t xml:space="preserve">Z administratorem – Prezydentem </w:t>
            </w:r>
            <w:r>
              <w:rPr>
                <w:rFonts w:cs="Arial" w:ascii="Arial" w:hAnsi="Arial"/>
                <w:sz w:val="18"/>
                <w:szCs w:val="18"/>
              </w:rPr>
              <w:t>M</w:t>
            </w:r>
            <w:r>
              <w:rPr>
                <w:rFonts w:cs="Arial" w:ascii="Arial" w:hAnsi="Arial"/>
                <w:sz w:val="18"/>
                <w:szCs w:val="18"/>
              </w:rPr>
              <w:t xml:space="preserve">iasta można się skontaktować </w:t>
            </w:r>
            <w:bookmarkStart w:id="0" w:name="__DdeLink__3501_1701453687"/>
            <w:r>
              <w:rPr>
                <w:rFonts w:cs="Arial" w:ascii="Arial" w:hAnsi="Arial"/>
                <w:sz w:val="18"/>
                <w:szCs w:val="18"/>
              </w:rPr>
              <w:t xml:space="preserve">za pośrednictwem adresu e-mail: </w:t>
            </w:r>
            <w:hyperlink r:id="rId2">
              <w:r>
                <w:rPr>
                  <w:rStyle w:val="Czeinternetowe"/>
                  <w:rFonts w:cs="Arial" w:ascii="Arial" w:hAnsi="Arial"/>
                  <w:sz w:val="18"/>
                  <w:szCs w:val="18"/>
                </w:rPr>
                <w:t>iod@zamosc.pl</w:t>
              </w:r>
            </w:hyperlink>
            <w:r>
              <w:rPr>
                <w:rFonts w:cs="Arial" w:ascii="Arial" w:hAnsi="Arial"/>
                <w:sz w:val="18"/>
                <w:szCs w:val="18"/>
              </w:rPr>
              <w:t xml:space="preserve"> lub pisemnie na adres Administratora.</w:t>
            </w:r>
            <w:bookmarkEnd w:id="0"/>
          </w:p>
          <w:p>
            <w:pPr>
              <w:pStyle w:val="ListParagraph"/>
              <w:spacing w:lineRule="auto" w:line="276" w:before="0" w:after="0"/>
              <w:ind w:left="0" w:hanging="0"/>
              <w:contextualSpacing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  <w:p>
            <w:pPr>
              <w:pStyle w:val="ListParagraph"/>
              <w:spacing w:lineRule="auto" w:line="276" w:before="0" w:after="0"/>
              <w:ind w:left="0" w:hanging="0"/>
              <w:contextualSpacing/>
              <w:jc w:val="both"/>
              <w:rPr/>
            </w:pPr>
            <w:r>
              <w:rPr>
                <w:rFonts w:cs="Arial" w:ascii="Arial" w:hAnsi="Arial"/>
                <w:sz w:val="18"/>
                <w:szCs w:val="18"/>
              </w:rPr>
              <w:t xml:space="preserve">Z administratorem – Ministrem Cyfryzacji można się skontaktować poprzez adres email </w:t>
            </w:r>
            <w:hyperlink r:id="rId3">
              <w:r>
                <w:rPr>
                  <w:rStyle w:val="Czeinternetowe"/>
                  <w:rFonts w:cs="Arial" w:ascii="Arial" w:hAnsi="Arial"/>
                  <w:color w:val="auto"/>
                  <w:sz w:val="18"/>
                  <w:szCs w:val="18"/>
                </w:rPr>
                <w:t>kancelaria@cyfra.gov.pl</w:t>
              </w:r>
            </w:hyperlink>
            <w:r>
              <w:rPr>
                <w:rStyle w:val="Czeinternetowe"/>
                <w:color w:val="auto"/>
                <w:u w:val="none"/>
              </w:rPr>
              <w:t xml:space="preserve"> </w:t>
            </w:r>
            <w:r>
              <w:rPr>
                <w:rFonts w:cs="Arial" w:ascii="Arial" w:hAnsi="Arial"/>
                <w:sz w:val="18"/>
                <w:szCs w:val="18"/>
              </w:rPr>
              <w:t>lub pisemnie na adres siedziby administratora.</w:t>
            </w:r>
          </w:p>
          <w:p>
            <w:pPr>
              <w:pStyle w:val="ListParagraph"/>
              <w:spacing w:lineRule="auto" w:line="276" w:before="0" w:after="0"/>
              <w:ind w:left="0" w:hanging="0"/>
              <w:contextualSpacing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  <w:p>
            <w:pPr>
              <w:pStyle w:val="ListParagraph"/>
              <w:spacing w:lineRule="auto" w:line="276" w:before="0" w:after="0"/>
              <w:ind w:left="0" w:hanging="0"/>
              <w:contextualSpacing/>
              <w:jc w:val="both"/>
              <w:rPr/>
            </w:pPr>
            <w:r>
              <w:rPr>
                <w:rFonts w:cs="Arial" w:ascii="Arial" w:hAnsi="Arial"/>
                <w:sz w:val="18"/>
                <w:szCs w:val="18"/>
              </w:rPr>
              <w:t xml:space="preserve">Z administratorem – Ministrem Spraw Zagranicznych można się skontaktować poprzez adres e-mail: </w:t>
            </w:r>
            <w:hyperlink r:id="rId4">
              <w:r>
                <w:rPr>
                  <w:rStyle w:val="Czeinternetowe"/>
                  <w:rFonts w:cs="Arial" w:ascii="Arial" w:hAnsi="Arial"/>
                  <w:color w:val="auto"/>
                  <w:sz w:val="18"/>
                  <w:szCs w:val="18"/>
                </w:rPr>
                <w:t>iod@msz.gov.pl</w:t>
              </w:r>
            </w:hyperlink>
            <w:r>
              <w:rPr>
                <w:rFonts w:cs="Arial" w:ascii="Arial" w:hAnsi="Arial"/>
                <w:sz w:val="18"/>
                <w:szCs w:val="18"/>
              </w:rPr>
              <w:t xml:space="preserve"> lub pisemnie na adres siedziby, zaś z wykonującym obowiązki administratora, którym jest konsul RP, można skontaktować się poprzez właściwy adres instytucjonalny e-mail urzędu konsularnego lub pisemnie pod adresem, zgodnie z informacją opublikowaną na stronie: https://www.gov.pl/web/dyplomacja/polskie-przedstawicielstwa-na-swiecie .</w:t>
            </w:r>
          </w:p>
        </w:tc>
      </w:tr>
      <w:tr>
        <w:trPr/>
        <w:tc>
          <w:tcPr>
            <w:tcW w:w="2296" w:type="dxa"/>
            <w:tcBorders/>
            <w:shd w:color="auto" w:fill="D9D9D9" w:themeFill="background1" w:themeFillShade="d9" w:val="clear"/>
          </w:tcPr>
          <w:p>
            <w:pPr>
              <w:pStyle w:val="Normal"/>
              <w:spacing w:lineRule="auto" w:line="240" w:before="0" w:after="0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  <w:t>DANE KONTAKTOWE INSPEKTORA OCHRONY DANYCH</w:t>
            </w:r>
          </w:p>
        </w:tc>
        <w:tc>
          <w:tcPr>
            <w:tcW w:w="6621" w:type="dxa"/>
            <w:tcBorders/>
            <w:shd w:fill="auto" w:val="clear"/>
          </w:tcPr>
          <w:p>
            <w:pPr>
              <w:pStyle w:val="Normal"/>
              <w:spacing w:lineRule="auto" w:line="276" w:before="0" w:after="0"/>
              <w:jc w:val="both"/>
              <w:rPr/>
            </w:pPr>
            <w:r>
              <w:rPr>
                <w:rFonts w:cs="Arial" w:ascii="Arial" w:hAnsi="Arial"/>
                <w:sz w:val="18"/>
                <w:szCs w:val="18"/>
              </w:rPr>
              <w:t xml:space="preserve">Administrator - Prezydent Miasta wyznaczył inspektora ochrony danych, z którym może się Pani/Pan skontaktować za pośrednictwem adresu e-mail: </w:t>
            </w:r>
            <w:hyperlink r:id="rId5">
              <w:r>
                <w:rPr>
                  <w:rStyle w:val="Czeinternetowe"/>
                  <w:rFonts w:cs="Arial" w:ascii="Arial" w:hAnsi="Arial"/>
                  <w:sz w:val="18"/>
                  <w:szCs w:val="18"/>
                </w:rPr>
                <w:t>iod@zamosc.pl</w:t>
              </w:r>
            </w:hyperlink>
            <w:r>
              <w:rPr>
                <w:rFonts w:cs="Arial" w:ascii="Arial" w:hAnsi="Arial"/>
                <w:sz w:val="18"/>
                <w:szCs w:val="18"/>
              </w:rPr>
              <w:t xml:space="preserve"> lub pisemnie na adres Administratora.</w:t>
            </w:r>
          </w:p>
          <w:p>
            <w:pPr>
              <w:pStyle w:val="Normal"/>
              <w:spacing w:lineRule="auto" w:line="276" w:before="0" w:after="0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  <w:p>
            <w:pPr>
              <w:pStyle w:val="Normal"/>
              <w:spacing w:lineRule="auto" w:line="276" w:before="0" w:after="0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 xml:space="preserve">Administrator – Minister Cyfryzacji wyznaczył inspektora ochrony danych, z którym może się Pan/Pani kontaktować, we wszystkich sprawach związanych z przetwarzaniem danych osobowych, poprzez email </w:t>
            </w:r>
            <w:r>
              <w:rPr>
                <w:rFonts w:cs="Arial" w:ascii="Arial" w:hAnsi="Arial"/>
                <w:sz w:val="18"/>
                <w:szCs w:val="18"/>
                <w:u w:val="single"/>
              </w:rPr>
              <w:t>iod.mc@cyfra.gov.pl</w:t>
            </w:r>
            <w:r>
              <w:rPr>
                <w:rFonts w:cs="Arial" w:ascii="Arial" w:hAnsi="Arial"/>
                <w:sz w:val="18"/>
                <w:szCs w:val="18"/>
              </w:rPr>
              <w:t xml:space="preserve"> lub pisemnie na adres siedziby administratora.</w:t>
            </w:r>
          </w:p>
          <w:p>
            <w:pPr>
              <w:pStyle w:val="Normal"/>
              <w:spacing w:lineRule="auto" w:line="276" w:before="0" w:after="0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  <w:p>
            <w:pPr>
              <w:pStyle w:val="Normal"/>
              <w:spacing w:lineRule="auto" w:line="276" w:before="0" w:after="0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 xml:space="preserve">Administrator – Minister Spraw Zagranicznych wyznaczył, w odniesieniu do danych przetwarzanych w Ministerstwie Spraw Zagranicznych jak i placówkach zagranicznych,  inspektora ochrony danych, z którym może się Pan/Pani  skontaktować poprzez email: </w:t>
            </w:r>
            <w:r>
              <w:rPr>
                <w:rFonts w:cs="Arial" w:ascii="Arial" w:hAnsi="Arial"/>
                <w:sz w:val="18"/>
                <w:szCs w:val="18"/>
                <w:u w:val="single"/>
              </w:rPr>
              <w:t xml:space="preserve">iod@msz.gov.pl </w:t>
            </w:r>
            <w:r>
              <w:rPr>
                <w:rFonts w:cs="Arial" w:ascii="Arial" w:hAnsi="Arial"/>
                <w:sz w:val="18"/>
                <w:szCs w:val="18"/>
              </w:rPr>
              <w:t xml:space="preserve">lub pisemnie na adres siedziby administratora.  </w:t>
            </w:r>
          </w:p>
          <w:p>
            <w:pPr>
              <w:pStyle w:val="Normal"/>
              <w:spacing w:lineRule="auto" w:line="276" w:before="0" w:after="0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  <w:p>
            <w:pPr>
              <w:pStyle w:val="Normal"/>
              <w:spacing w:lineRule="auto" w:line="276" w:before="0" w:after="0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Z każdym z wymienionych inspektorów ochrony danych można się kontaktować we wszystkich sprawach dotyczących przetwarzania danych osobowych oraz korzystania z praw związanych z przetwarzaniem danych, które pozostają w jego zakresie działania.</w:t>
            </w:r>
          </w:p>
        </w:tc>
      </w:tr>
      <w:tr>
        <w:trPr/>
        <w:tc>
          <w:tcPr>
            <w:tcW w:w="2296" w:type="dxa"/>
            <w:tcBorders/>
            <w:shd w:color="auto" w:fill="D9D9D9" w:themeFill="background1" w:themeFillShade="d9" w:val="clear"/>
          </w:tcPr>
          <w:p>
            <w:pPr>
              <w:pStyle w:val="Normal"/>
              <w:spacing w:lineRule="auto" w:line="240" w:before="0" w:after="0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  <w:t xml:space="preserve">CELE PRZETWARZANIA I PODSTAWA PRAWNA </w:t>
            </w:r>
          </w:p>
        </w:tc>
        <w:tc>
          <w:tcPr>
            <w:tcW w:w="6621" w:type="dxa"/>
            <w:tcBorders/>
            <w:shd w:fill="auto" w:val="clear"/>
          </w:tcPr>
          <w:p>
            <w:pPr>
              <w:pStyle w:val="Normal"/>
              <w:spacing w:lineRule="auto" w:line="276" w:before="0" w:after="0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 xml:space="preserve">Pani/Pana dane będą przetwarzane na podstawie art.6 ust.1 lit. c Rozporządzenia Parlamentu Europejskiego i Rady (UE) 2016/679 z dnia 27 kwietnia 2016 r. </w:t>
            </w:r>
            <w:r>
              <w:rPr>
                <w:rFonts w:cs="Arial" w:ascii="Arial" w:hAnsi="Arial"/>
                <w:i/>
                <w:sz w:val="18"/>
                <w:szCs w:val="18"/>
              </w:rPr>
              <w:t>w sprawie ochrony osób fizycznych w związku z przetwarzaniem danych osobowych i w sprawie swobodnego przepływu takich danych oraz uchylenia dyrektywy 95/46/WE (ogólne rozporządzenie o ochronie danych)</w:t>
            </w:r>
            <w:r>
              <w:rPr>
                <w:rFonts w:cs="Arial" w:ascii="Arial" w:hAnsi="Arial"/>
                <w:sz w:val="18"/>
                <w:szCs w:val="18"/>
              </w:rPr>
              <w:t xml:space="preserve"> (Dz. Urz. UE L 119 z 04.05.2016, str. 1, z późn. zm.) (dalej: RODO) w związku z przepisem szczególnym ustawy;</w:t>
            </w:r>
          </w:p>
          <w:p>
            <w:pPr>
              <w:pStyle w:val="ListParagraph"/>
              <w:numPr>
                <w:ilvl w:val="0"/>
                <w:numId w:val="1"/>
              </w:numPr>
              <w:spacing w:lineRule="auto" w:line="276" w:before="0" w:after="0"/>
              <w:contextualSpacing/>
              <w:jc w:val="both"/>
              <w:rPr/>
            </w:pPr>
            <w:r>
              <w:rPr>
                <w:rFonts w:cs="Arial" w:ascii="Arial" w:hAnsi="Arial"/>
                <w:sz w:val="18"/>
                <w:szCs w:val="18"/>
              </w:rPr>
              <w:t>przez Prezydenta miasta - w celu wprowadzenia Pani/Pana danych do Centralnego Rejestru Wyborców – na podstawie art.</w:t>
            </w:r>
            <w:r>
              <w:rPr>
                <w:rFonts w:cs="Arial" w:ascii="Arial" w:hAnsi="Arial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cs="Arial" w:ascii="Arial" w:hAnsi="Arial"/>
                <w:bCs/>
                <w:sz w:val="18"/>
                <w:szCs w:val="18"/>
              </w:rPr>
              <w:t xml:space="preserve">18b § 1 ustawy z dnia 5 stycznia 2011 r. – Kodeks wyborczy </w:t>
            </w:r>
          </w:p>
          <w:p>
            <w:pPr>
              <w:pStyle w:val="ListParagraph"/>
              <w:numPr>
                <w:ilvl w:val="0"/>
                <w:numId w:val="1"/>
              </w:numPr>
              <w:spacing w:lineRule="auto" w:line="276" w:before="0" w:after="0"/>
              <w:contextualSpacing/>
              <w:jc w:val="both"/>
              <w:rPr>
                <w:rFonts w:ascii="Arial" w:hAnsi="Arial" w:cs="Arial"/>
                <w:i/>
                <w:i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Konsula  - w celu wprowadzenia Pani/Pana danych do Centralnego Rejestru Wyborców – na podstawie art.</w:t>
            </w:r>
            <w:r>
              <w:rPr>
                <w:rFonts w:cs="Arial" w:ascii="Arial" w:hAnsi="Arial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cs="Arial" w:ascii="Arial" w:hAnsi="Arial"/>
                <w:bCs/>
                <w:sz w:val="18"/>
                <w:szCs w:val="18"/>
              </w:rPr>
              <w:t xml:space="preserve">18b § 2 ustawy z dnia 5 stycznia 2011 r. – Kodeks wyborczy </w:t>
            </w:r>
          </w:p>
          <w:p>
            <w:pPr>
              <w:pStyle w:val="ListParagraph"/>
              <w:numPr>
                <w:ilvl w:val="0"/>
                <w:numId w:val="1"/>
              </w:numPr>
              <w:spacing w:lineRule="auto" w:line="276" w:before="0" w:after="0"/>
              <w:contextualSpacing/>
              <w:jc w:val="both"/>
              <w:rPr>
                <w:rFonts w:ascii="Arial" w:hAnsi="Arial" w:cs="Arial"/>
                <w:i/>
                <w:i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przez Ministra Cyfryzacji - w celu wprowadzenia Pani/Pana danych do Centralnego Rejestru Wyborców – na podstawie art.</w:t>
            </w:r>
            <w:r>
              <w:rPr>
                <w:rFonts w:cs="Arial" w:ascii="Arial" w:hAnsi="Arial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cs="Arial" w:ascii="Arial" w:hAnsi="Arial"/>
                <w:bCs/>
                <w:sz w:val="18"/>
                <w:szCs w:val="18"/>
              </w:rPr>
              <w:t xml:space="preserve">18b § 3 ustawy z dnia 5 stycznia 2011 r. – Kodeks wyborczy oraz w celu utrzymania i rozwoju rejestru </w:t>
            </w:r>
          </w:p>
          <w:p>
            <w:pPr>
              <w:pStyle w:val="Normal"/>
              <w:spacing w:lineRule="auto" w:line="276" w:before="0" w:after="0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  <w:p>
            <w:pPr>
              <w:pStyle w:val="Normal"/>
              <w:spacing w:lineRule="auto" w:line="276" w:before="0" w:after="0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 xml:space="preserve">Dane zgromadzone w Centralnym Rejestrze służą do sporządzania spisów wyborców. Ujęcie w spisie wyborców umożliwia realizację prawa wybierania.  </w:t>
            </w:r>
          </w:p>
        </w:tc>
      </w:tr>
      <w:tr>
        <w:trPr/>
        <w:tc>
          <w:tcPr>
            <w:tcW w:w="2296" w:type="dxa"/>
            <w:tcBorders/>
            <w:shd w:color="auto" w:fill="D9D9D9" w:themeFill="background1" w:themeFillShade="d9" w:val="clear"/>
          </w:tcPr>
          <w:p>
            <w:pPr>
              <w:pStyle w:val="Normal"/>
              <w:spacing w:lineRule="auto" w:line="240" w:before="0" w:after="0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  <w:t>ODBIORCY DANYCH</w:t>
            </w:r>
          </w:p>
          <w:p>
            <w:pPr>
              <w:pStyle w:val="Normal"/>
              <w:spacing w:lineRule="auto" w:line="240" w:before="0" w:after="0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</w:r>
          </w:p>
        </w:tc>
        <w:tc>
          <w:tcPr>
            <w:tcW w:w="6621" w:type="dxa"/>
            <w:tcBorders/>
            <w:shd w:fill="auto" w:val="clear"/>
          </w:tcPr>
          <w:p>
            <w:pPr>
              <w:pStyle w:val="Normal"/>
              <w:spacing w:lineRule="auto" w:line="276" w:before="0" w:after="0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 xml:space="preserve">Odbiorcami danych są: </w:t>
            </w:r>
          </w:p>
          <w:p>
            <w:pPr>
              <w:pStyle w:val="ListParagraph"/>
              <w:numPr>
                <w:ilvl w:val="0"/>
                <w:numId w:val="3"/>
              </w:numPr>
              <w:spacing w:lineRule="auto" w:line="276" w:before="0" w:after="0"/>
              <w:contextualSpacing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Centralny Ośrodek Informatyki – w zakresie technicznego utrzymania Centralnego Rejestru Wyborców;</w:t>
            </w:r>
          </w:p>
          <w:p>
            <w:pPr>
              <w:pStyle w:val="ListParagraph"/>
              <w:numPr>
                <w:ilvl w:val="0"/>
                <w:numId w:val="3"/>
              </w:numPr>
              <w:spacing w:lineRule="auto" w:line="276" w:before="0" w:after="0"/>
              <w:contextualSpacing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 xml:space="preserve">Państwowa Komisja Wyborcza – w zakresie nadzorowania prawidłowości aktualizowania Centralnego Rejestru Wyborców.  </w:t>
            </w:r>
          </w:p>
        </w:tc>
      </w:tr>
      <w:tr>
        <w:trPr/>
        <w:tc>
          <w:tcPr>
            <w:tcW w:w="2296" w:type="dxa"/>
            <w:tcBorders/>
            <w:shd w:color="auto" w:fill="D9D9D9" w:themeFill="background1" w:themeFillShade="d9" w:val="clear"/>
          </w:tcPr>
          <w:p>
            <w:pPr>
              <w:pStyle w:val="Normal"/>
              <w:spacing w:lineRule="auto" w:line="240" w:before="0" w:after="0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  <w:t>PRZEKAZANIE DANYCH OSOBOWYCH DO PAŃSTWA TRZECIEGO LUB ORGANIZACJI MIĘDZYNARODOWEJ</w:t>
            </w:r>
          </w:p>
        </w:tc>
        <w:tc>
          <w:tcPr>
            <w:tcW w:w="6621" w:type="dxa"/>
            <w:tcBorders/>
            <w:shd w:fill="auto" w:val="clear"/>
          </w:tcPr>
          <w:p>
            <w:pPr>
              <w:pStyle w:val="Normal"/>
              <w:spacing w:lineRule="auto" w:line="276" w:before="0" w:after="0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 xml:space="preserve">Dane o obywatelach Unii Europejskiej niebędących obywatelami polskimi, korzystających z praw wyborczych w Rzeczypospolitej Polskiej są przekazywane przez Ministra Cyfryzacji właściwym organom państw członkowskich Unii Europejskiej. </w:t>
            </w:r>
          </w:p>
          <w:p>
            <w:pPr>
              <w:pStyle w:val="Normal"/>
              <w:spacing w:lineRule="auto" w:line="276" w:before="0" w:after="0"/>
              <w:jc w:val="both"/>
              <w:rPr>
                <w:rFonts w:ascii="Arial" w:hAnsi="Arial" w:cs="Arial"/>
                <w:sz w:val="18"/>
                <w:szCs w:val="18"/>
              </w:rPr>
            </w:pPr>
            <w:bookmarkStart w:id="1" w:name="mip64039619"/>
            <w:bookmarkStart w:id="2" w:name="mip67463580"/>
            <w:bookmarkEnd w:id="1"/>
            <w:bookmarkEnd w:id="2"/>
            <w:r>
              <w:rPr>
                <w:rFonts w:cs="Arial" w:ascii="Arial" w:hAnsi="Arial"/>
                <w:sz w:val="18"/>
                <w:szCs w:val="18"/>
              </w:rPr>
              <w:t>Minister Cyfryzacji przekazuje właściwym organom państw członkowskich Unii Europejskiej, na ich wniosek, dane dotyczące obywateli polskich chcących korzystać z praw wyborczych na terytorium innego państwa członkowskiego Unii Europejskiej, w zakresie niezbędnym do korzystania z tych praw.</w:t>
            </w:r>
          </w:p>
        </w:tc>
      </w:tr>
      <w:tr>
        <w:trPr>
          <w:trHeight w:val="525" w:hRule="atLeast"/>
        </w:trPr>
        <w:tc>
          <w:tcPr>
            <w:tcW w:w="2296" w:type="dxa"/>
            <w:tcBorders/>
            <w:shd w:color="auto" w:fill="D9D9D9" w:themeFill="background1" w:themeFillShade="d9" w:val="clear"/>
          </w:tcPr>
          <w:p>
            <w:pPr>
              <w:pStyle w:val="Normal"/>
              <w:spacing w:lineRule="auto" w:line="240" w:before="0" w:after="0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  <w:t>OKRES PRZECHOWYWANIA DANYCH</w:t>
            </w:r>
          </w:p>
        </w:tc>
        <w:tc>
          <w:tcPr>
            <w:tcW w:w="6621" w:type="dxa"/>
            <w:tcBorders/>
            <w:shd w:fill="auto" w:val="clear"/>
          </w:tcPr>
          <w:p>
            <w:pPr>
              <w:pStyle w:val="ListParagraph"/>
              <w:spacing w:lineRule="auto" w:line="276" w:before="0" w:after="0"/>
              <w:ind w:left="0" w:hanging="0"/>
              <w:contextualSpacing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 xml:space="preserve">Okres przechowywania danych obywateli polskich w Centralnym Rejestrze Wyborców obejmuje  okres życia danej osoby od momentu  ukończenia 17 lat do dnia zarejestrowania dla tej osoby zgonu lub utraty obywatelstwa polskiego. </w:t>
            </w:r>
          </w:p>
          <w:p>
            <w:pPr>
              <w:pStyle w:val="ListParagraph"/>
              <w:spacing w:lineRule="auto" w:line="276" w:before="0" w:after="0"/>
              <w:ind w:left="0" w:hanging="0"/>
              <w:contextualSpacing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  <w:p>
            <w:pPr>
              <w:pStyle w:val="ListParagraph"/>
              <w:spacing w:lineRule="auto" w:line="276" w:before="0" w:after="0"/>
              <w:ind w:left="0" w:hanging="0"/>
              <w:contextualSpacing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Dla wyborców będących obywatelami Unii Europejskiej niebędących obywatelami polskimi oraz obywatelami Zjednoczonego Królestwa Wielkiej Brytanii i Irlandii Północnej, uprawnionych do korzystania z praw wyborczych w Rzeczypospolitej Polskiej okres przechowywania danych rozpoczyna się od momentu ujęcia na wniosek w obwodzie glosowania do czasu złożenia w gminie tj. u Wójta/Prezydenta/Burmistrza wniosku o skreślenie z Centralnego Rejestru Wyborców albo zarejestrowania w Polsce zgonu lub utraty obywatelstwa uprawniającego do głosowania w Polsce. Natomiast przez Ministra Cyfryzacji do czasu przesłania właściwemu organowi państwa członkowskiego Unii Europejskiej informacji o skreśleniu z Centralnego Rejestru Wyborców osoby, o ile przesłał uprzednio do tego organu informację, o korzystaniu z praw wyborczych w Rzeczypospolitej Polskiej w związku ze zgłoszeniem wniosku.</w:t>
            </w:r>
          </w:p>
          <w:p>
            <w:pPr>
              <w:pStyle w:val="ListParagraph"/>
              <w:spacing w:lineRule="auto" w:line="276" w:before="0" w:after="0"/>
              <w:ind w:left="0" w:hanging="0"/>
              <w:contextualSpacing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  <w:p>
            <w:pPr>
              <w:pStyle w:val="ListParagraph"/>
              <w:spacing w:lineRule="auto" w:line="276" w:before="0" w:after="0"/>
              <w:ind w:left="0" w:hanging="0"/>
              <w:contextualSpacing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Zapisy w dziennikach systemów (logach) Centralnego Rejestru Wyborców przechowywane są przez 5 lat od dnia ich utworzenia (art.18 § 11 ustawy z dnia 5 stycznia 2011 r. – Kodeks wyborczy).</w:t>
            </w:r>
          </w:p>
          <w:p>
            <w:pPr>
              <w:pStyle w:val="ListParagraph"/>
              <w:spacing w:lineRule="auto" w:line="276" w:before="0" w:after="0"/>
              <w:ind w:left="0" w:hanging="0"/>
              <w:contextualSpacing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</w:tr>
      <w:tr>
        <w:trPr/>
        <w:tc>
          <w:tcPr>
            <w:tcW w:w="2296" w:type="dxa"/>
            <w:tcBorders/>
            <w:shd w:color="auto" w:fill="D9D9D9" w:themeFill="background1" w:themeFillShade="d9" w:val="clear"/>
          </w:tcPr>
          <w:p>
            <w:pPr>
              <w:pStyle w:val="Normal"/>
              <w:spacing w:lineRule="auto" w:line="240" w:before="0" w:after="0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  <w:t>PRAWA PODMIOTÓW DANYCH</w:t>
            </w:r>
          </w:p>
        </w:tc>
        <w:tc>
          <w:tcPr>
            <w:tcW w:w="6621" w:type="dxa"/>
            <w:tcBorders/>
            <w:shd w:fill="auto" w:val="clear"/>
          </w:tcPr>
          <w:p>
            <w:pPr>
              <w:pStyle w:val="Normal"/>
              <w:spacing w:lineRule="auto" w:line="276" w:before="0" w:after="0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Przysługuje Pani/Panu:</w:t>
            </w:r>
          </w:p>
          <w:p>
            <w:pPr>
              <w:pStyle w:val="Normal"/>
              <w:spacing w:lineRule="auto" w:line="276" w:before="0" w:after="0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 xml:space="preserve">- prawo dostępu do Pani/Pana danych; </w:t>
            </w:r>
          </w:p>
          <w:p>
            <w:pPr>
              <w:pStyle w:val="Normal"/>
              <w:spacing w:lineRule="auto" w:line="276" w:before="0" w:after="0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-prawo żądania ich sprostowania. Do weryfikacji prawidłowości danych osobowych zawartych w Centralnym Rejestrze Wyborców oraz stwierdzania niezgodności tych danych ze stanem faktycznym stosuje się art. 11 ustawy z dnia 24 września 2010 r. o ewidencji ludności.</w:t>
            </w:r>
          </w:p>
        </w:tc>
      </w:tr>
      <w:tr>
        <w:trPr/>
        <w:tc>
          <w:tcPr>
            <w:tcW w:w="2296" w:type="dxa"/>
            <w:tcBorders/>
            <w:shd w:color="auto" w:fill="D9D9D9" w:themeFill="background1" w:themeFillShade="d9" w:val="clear"/>
          </w:tcPr>
          <w:p>
            <w:pPr>
              <w:pStyle w:val="Normal"/>
              <w:spacing w:lineRule="auto" w:line="240" w:before="0" w:after="0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  <w:t>PRAWO WNIESIENIA SKARGI DO ORGANU NADZORCZEGO</w:t>
            </w:r>
          </w:p>
        </w:tc>
        <w:tc>
          <w:tcPr>
            <w:tcW w:w="6621" w:type="dxa"/>
            <w:tcBorders/>
            <w:shd w:fill="auto" w:val="clear"/>
          </w:tcPr>
          <w:p>
            <w:pPr>
              <w:pStyle w:val="Normal"/>
              <w:spacing w:lineRule="auto" w:line="276" w:before="0" w:after="0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Przysługuje Pani/Panu również prawo wniesienia skargi do organu nadzorczego - Prezesa Urzędu Ochrony Danych Osobowych;</w:t>
            </w:r>
          </w:p>
          <w:p>
            <w:pPr>
              <w:pStyle w:val="Normal"/>
              <w:spacing w:lineRule="auto" w:line="276" w:before="0" w:after="0"/>
              <w:jc w:val="both"/>
              <w:rPr/>
            </w:pPr>
            <w:hyperlink r:id="rId6">
              <w:r>
                <w:rPr>
                  <w:rStyle w:val="ListLabel43"/>
                  <w:rFonts w:cs="Arial" w:ascii="Arial" w:hAnsi="Arial"/>
                  <w:sz w:val="18"/>
                  <w:szCs w:val="18"/>
                </w:rPr>
                <w:t>Adres</w:t>
              </w:r>
            </w:hyperlink>
            <w:r>
              <w:rPr>
                <w:rFonts w:cs="Arial" w:ascii="Arial" w:hAnsi="Arial"/>
                <w:sz w:val="18"/>
                <w:szCs w:val="18"/>
              </w:rPr>
              <w:t>: Stawki 2, 00-193 Warszawa</w:t>
            </w:r>
          </w:p>
          <w:p>
            <w:pPr>
              <w:pStyle w:val="Normal"/>
              <w:spacing w:lineRule="auto" w:line="276" w:before="0" w:after="0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</w:tr>
      <w:tr>
        <w:trPr/>
        <w:tc>
          <w:tcPr>
            <w:tcW w:w="2296" w:type="dxa"/>
            <w:tcBorders/>
            <w:shd w:color="auto" w:fill="D9D9D9" w:themeFill="background1" w:themeFillShade="d9" w:val="clear"/>
          </w:tcPr>
          <w:p>
            <w:pPr>
              <w:pStyle w:val="Normal"/>
              <w:spacing w:lineRule="auto" w:line="240" w:before="0" w:after="0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  <w:t>ŹRÓDŁO POCHODZENIA DANYCH OSOBOWYCH</w:t>
            </w:r>
          </w:p>
        </w:tc>
        <w:tc>
          <w:tcPr>
            <w:tcW w:w="6621" w:type="dxa"/>
            <w:tcBorders/>
            <w:shd w:fill="auto" w:val="clear"/>
          </w:tcPr>
          <w:p>
            <w:pPr>
              <w:pStyle w:val="Normal"/>
              <w:spacing w:lineRule="auto" w:line="276" w:before="0" w:after="0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 xml:space="preserve">Centralny Rejestr Wyborców jest zasilany danymi z Rejestru PESEL. </w:t>
            </w:r>
          </w:p>
          <w:p>
            <w:pPr>
              <w:pStyle w:val="Normal"/>
              <w:spacing w:lineRule="auto" w:line="276" w:before="0" w:after="0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 xml:space="preserve">Pani/Pana dane do Centralnego Rejestru Wyborców są wprowadzane także na podstawie orzeczeń sądowych wpływających na realizację prawa wybierania oraz składanych przez Panią/Pana wniosków co do sposobu lub miejsca głosowania.  </w:t>
            </w:r>
          </w:p>
        </w:tc>
      </w:tr>
      <w:tr>
        <w:trPr>
          <w:trHeight w:val="1395" w:hRule="atLeast"/>
        </w:trPr>
        <w:tc>
          <w:tcPr>
            <w:tcW w:w="2296" w:type="dxa"/>
            <w:tcBorders/>
            <w:shd w:color="auto" w:fill="D9D9D9" w:themeFill="background1" w:themeFillShade="d9" w:val="clear"/>
          </w:tcPr>
          <w:p>
            <w:pPr>
              <w:pStyle w:val="Normal"/>
              <w:spacing w:lineRule="auto" w:line="240" w:before="0" w:after="0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  <w:t>INFORMACJA O DOWOLNOŚCI LUB OBOWIĄZKU PODANIA DANYCH ORAZ KONSEKWENCJACH NIEPODANIA DANYCH</w:t>
            </w:r>
          </w:p>
        </w:tc>
        <w:tc>
          <w:tcPr>
            <w:tcW w:w="6621" w:type="dxa"/>
            <w:tcBorders/>
            <w:shd w:fill="auto" w:val="clear"/>
          </w:tcPr>
          <w:p>
            <w:pPr>
              <w:pStyle w:val="Normal"/>
              <w:spacing w:lineRule="auto" w:line="276" w:before="0" w:after="0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 xml:space="preserve">Nie posiada Pani/Pan uprawnień lub obowiązków związanych z podaniem danych osobowych. Zgodnie z art. 18 § 2 ustawy z dnia 5 stycznia 2011 r. – Kodeks wyborczy dane osobowe są przekazywane do Centralnego Rejestru Wyborców z rejestru PESEL, po ukończeniu przez osobę 17 lat. </w:t>
            </w:r>
          </w:p>
          <w:p>
            <w:pPr>
              <w:pStyle w:val="Normal"/>
              <w:spacing w:lineRule="auto" w:line="276" w:before="0" w:after="0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 xml:space="preserve">W przypadku działania na wniosek w sprawach związanych ze sposobem lub miejscem głosowania, odmowa podania danych skutkuje niezrealizowaniem żądania. </w:t>
            </w:r>
          </w:p>
          <w:p>
            <w:pPr>
              <w:pStyle w:val="Normal"/>
              <w:spacing w:lineRule="auto" w:line="276" w:before="0" w:after="0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</w:tr>
      <w:tr>
        <w:trPr>
          <w:trHeight w:val="1241" w:hRule="atLeast"/>
        </w:trPr>
        <w:tc>
          <w:tcPr>
            <w:tcW w:w="2296" w:type="dxa"/>
            <w:tcBorders/>
            <w:shd w:color="auto" w:fill="D9D9D9" w:themeFill="background1" w:themeFillShade="d9" w:val="clear"/>
          </w:tcPr>
          <w:p>
            <w:pPr>
              <w:pStyle w:val="Normal"/>
              <w:spacing w:lineRule="auto" w:line="240" w:before="0" w:after="0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  <w:t xml:space="preserve">INFORMACJA O ZAUTOMATYZOWANYM PODEJMOWANIU DECYZJI I PROFILOWANIU </w:t>
            </w:r>
          </w:p>
        </w:tc>
        <w:tc>
          <w:tcPr>
            <w:tcW w:w="6621" w:type="dxa"/>
            <w:tcBorders/>
            <w:shd w:fill="auto" w:val="clear"/>
          </w:tcPr>
          <w:p>
            <w:pPr>
              <w:pStyle w:val="Normal"/>
              <w:spacing w:lineRule="auto" w:line="276" w:before="0" w:after="0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  <w:p>
            <w:pPr>
              <w:pStyle w:val="Normal"/>
              <w:spacing w:lineRule="auto" w:line="276" w:before="0" w:after="0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Pani/Pana dane osobowe nie będą podlegały zautomatyzowanemu podejmowaniu decyzji w tym profilowaniu.</w:t>
            </w:r>
          </w:p>
          <w:p>
            <w:pPr>
              <w:pStyle w:val="Normal"/>
              <w:spacing w:lineRule="auto" w:line="276" w:before="0" w:after="0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  <w:p>
            <w:pPr>
              <w:pStyle w:val="Normal"/>
              <w:spacing w:lineRule="auto" w:line="276" w:before="0" w:after="0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  <w:p>
            <w:pPr>
              <w:pStyle w:val="Normal"/>
              <w:spacing w:lineRule="auto" w:line="276" w:before="0" w:after="0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  <w:p>
            <w:pPr>
              <w:pStyle w:val="Normal"/>
              <w:spacing w:lineRule="auto" w:line="276" w:before="0" w:after="0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  <w:p>
            <w:pPr>
              <w:pStyle w:val="Normal"/>
              <w:spacing w:lineRule="auto" w:line="276" w:before="0" w:after="0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</w:tr>
    </w:tbl>
    <w:p>
      <w:pPr>
        <w:pStyle w:val="Normal"/>
        <w:spacing w:before="0" w:after="160"/>
        <w:rPr/>
      </w:pPr>
      <w:r>
        <w:rPr/>
      </w:r>
    </w:p>
    <w:sectPr>
      <w:type w:val="nextPage"/>
      <w:pgSz w:w="11906" w:h="16838"/>
      <w:pgMar w:left="1418" w:right="1418" w:header="0" w:top="1247" w:footer="0" w:bottom="1247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Times New Roman">
    <w:charset w:val="ee"/>
    <w:family w:val="roman"/>
    <w:pitch w:val="variable"/>
  </w:font>
  <w:font w:name="Segoe UI">
    <w:charset w:val="ee"/>
    <w:family w:val="roman"/>
    <w:pitch w:val="variable"/>
  </w:font>
  <w:font w:name="Arial"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Wingdings">
    <w:charset w:val="02"/>
    <w:family w:val="auto"/>
    <w:pitch w:val="variable"/>
  </w:font>
  <w:font w:name="Courier New">
    <w:charset w:val="01"/>
    <w:family w:val="modern"/>
    <w:pitch w:val="fixed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18"/>
        <w:b/>
        <w:rFonts w:cs="Symbol"/>
        <w:color w:val="000000"/>
      </w:rPr>
    </w:lvl>
    <w:lvl w:ilvl="1">
      <w:start w:val="1"/>
      <w:numFmt w:val="bullet"/>
      <w:lvlText w:val=""/>
      <w:lvlJc w:val="left"/>
      <w:pPr>
        <w:ind w:left="1440" w:hanging="360"/>
      </w:pPr>
      <w:rPr>
        <w:rFonts w:ascii="Symbol" w:hAnsi="Symbol" w:cs="Symbol" w:hint="default"/>
        <w:rFonts w:cs="Symbol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  <w:rFonts w:cs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rFonts w:cs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  <w:rFonts w:cs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rFonts w:cs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  <w:rFonts w:cs="Wingdings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sz w:val="18"/>
        <w:rFonts w:ascii="Arial" w:hAnsi="Arial"/>
        <w:color w:val="00000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18"/>
        <w:rFonts w:cs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  <w:rFonts w:cs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rFonts w:cs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  <w:rFonts w:cs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rFonts w:cs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  <w:rFonts w:cs="Wingdings"/>
      </w:rPr>
    </w:lvl>
  </w:abstractNum>
  <w:abstractNum w:abstractNumId="4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w="http://schemas.openxmlformats.org/wordprocessingml/2006/main">
  <w:zoom w:percent="100"/>
  <w:defaultTabStop w:val="708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pl-PL" w:eastAsia="en-US" w:bidi="ar-SA"/>
      </w:rPr>
    </w:rPrDefault>
    <w:pPrDefault>
      <w:pPr/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2a3270"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l-PL" w:eastAsia="en-US" w:bidi="ar-SA"/>
    </w:rPr>
  </w:style>
  <w:style w:type="paragraph" w:styleId="Nagwek1">
    <w:name w:val="Heading 1"/>
    <w:basedOn w:val="Normal"/>
    <w:link w:val="Nagwek1Znak"/>
    <w:uiPriority w:val="9"/>
    <w:qFormat/>
    <w:rsid w:val="00be7e52"/>
    <w:pPr>
      <w:spacing w:lineRule="auto" w:line="240" w:beforeAutospacing="1" w:afterAutospacing="1"/>
      <w:outlineLvl w:val="0"/>
    </w:pPr>
    <w:rPr>
      <w:rFonts w:ascii="Times New Roman" w:hAnsi="Times New Roman" w:eastAsia="Times New Roman" w:cs="Times New Roman"/>
      <w:b/>
      <w:bCs/>
      <w:kern w:val="2"/>
      <w:sz w:val="48"/>
      <w:szCs w:val="48"/>
      <w:lang w:eastAsia="pl-PL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zeinternetowe">
    <w:name w:val="Łącze internetowe"/>
    <w:basedOn w:val="DefaultParagraphFont"/>
    <w:uiPriority w:val="99"/>
    <w:unhideWhenUsed/>
    <w:rsid w:val="00445810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qFormat/>
    <w:rsid w:val="00445810"/>
    <w:rPr>
      <w:color w:val="954F72" w:themeColor="followedHyperlink"/>
      <w:u w:val="single"/>
    </w:rPr>
  </w:style>
  <w:style w:type="character" w:styleId="Annotationreference">
    <w:name w:val="annotation reference"/>
    <w:basedOn w:val="DefaultParagraphFont"/>
    <w:uiPriority w:val="99"/>
    <w:semiHidden/>
    <w:unhideWhenUsed/>
    <w:qFormat/>
    <w:rsid w:val="00445810"/>
    <w:rPr>
      <w:sz w:val="16"/>
      <w:szCs w:val="16"/>
    </w:rPr>
  </w:style>
  <w:style w:type="character" w:styleId="TekstkomentarzaZnak" w:customStyle="1">
    <w:name w:val="Tekst komentarza Znak"/>
    <w:basedOn w:val="DefaultParagraphFont"/>
    <w:link w:val="Tekstkomentarza"/>
    <w:uiPriority w:val="99"/>
    <w:qFormat/>
    <w:rsid w:val="00445810"/>
    <w:rPr>
      <w:sz w:val="20"/>
      <w:szCs w:val="20"/>
    </w:rPr>
  </w:style>
  <w:style w:type="character" w:styleId="TematkomentarzaZnak" w:customStyle="1">
    <w:name w:val="Temat komentarza Znak"/>
    <w:basedOn w:val="TekstkomentarzaZnak"/>
    <w:link w:val="Tematkomentarza"/>
    <w:uiPriority w:val="99"/>
    <w:semiHidden/>
    <w:qFormat/>
    <w:rsid w:val="00445810"/>
    <w:rPr>
      <w:b/>
      <w:bCs/>
      <w:sz w:val="20"/>
      <w:szCs w:val="20"/>
    </w:rPr>
  </w:style>
  <w:style w:type="character" w:styleId="TekstdymkaZnak" w:customStyle="1">
    <w:name w:val="Tekst dymka Znak"/>
    <w:basedOn w:val="DefaultParagraphFont"/>
    <w:link w:val="Tekstdymka"/>
    <w:uiPriority w:val="99"/>
    <w:semiHidden/>
    <w:qFormat/>
    <w:rsid w:val="00445810"/>
    <w:rPr>
      <w:rFonts w:ascii="Segoe UI" w:hAnsi="Segoe UI" w:cs="Segoe UI"/>
      <w:sz w:val="18"/>
      <w:szCs w:val="18"/>
    </w:rPr>
  </w:style>
  <w:style w:type="character" w:styleId="Nagwek1Znak" w:customStyle="1">
    <w:name w:val="Nagłówek 1 Znak"/>
    <w:basedOn w:val="DefaultParagraphFont"/>
    <w:link w:val="Nagwek1"/>
    <w:uiPriority w:val="9"/>
    <w:qFormat/>
    <w:rsid w:val="00be7e52"/>
    <w:rPr>
      <w:rFonts w:ascii="Times New Roman" w:hAnsi="Times New Roman" w:eastAsia="Times New Roman" w:cs="Times New Roman"/>
      <w:b/>
      <w:bCs/>
      <w:kern w:val="2"/>
      <w:sz w:val="48"/>
      <w:szCs w:val="48"/>
      <w:lang w:eastAsia="pl-PL"/>
    </w:rPr>
  </w:style>
  <w:style w:type="character" w:styleId="TekstprzypisukocowegoZnak" w:customStyle="1">
    <w:name w:val="Tekst przypisu końcowego Znak"/>
    <w:basedOn w:val="DefaultParagraphFont"/>
    <w:link w:val="Tekstprzypisukocowego"/>
    <w:uiPriority w:val="99"/>
    <w:semiHidden/>
    <w:qFormat/>
    <w:rsid w:val="00bb79f9"/>
    <w:rPr>
      <w:sz w:val="20"/>
      <w:szCs w:val="20"/>
    </w:rPr>
  </w:style>
  <w:style w:type="character" w:styleId="Zakotwiczenieprzypisukocowego">
    <w:name w:val="Zakotwiczenie przypisu końcowego"/>
    <w:rPr>
      <w:vertAlign w:val="superscript"/>
    </w:rPr>
  </w:style>
  <w:style w:type="character" w:styleId="EndnoteCharacters">
    <w:name w:val="Endnote Characters"/>
    <w:basedOn w:val="DefaultParagraphFont"/>
    <w:uiPriority w:val="99"/>
    <w:semiHidden/>
    <w:unhideWhenUsed/>
    <w:qFormat/>
    <w:rsid w:val="00bb79f9"/>
    <w:rPr>
      <w:vertAlign w:val="superscript"/>
    </w:rPr>
  </w:style>
  <w:style w:type="character" w:styleId="NagwekZnak" w:customStyle="1">
    <w:name w:val="Nagłówek Znak"/>
    <w:basedOn w:val="DefaultParagraphFont"/>
    <w:link w:val="Nagwek"/>
    <w:uiPriority w:val="99"/>
    <w:qFormat/>
    <w:rsid w:val="00372c99"/>
    <w:rPr/>
  </w:style>
  <w:style w:type="character" w:styleId="StopkaZnak" w:customStyle="1">
    <w:name w:val="Stopka Znak"/>
    <w:basedOn w:val="DefaultParagraphFont"/>
    <w:link w:val="Stopka"/>
    <w:uiPriority w:val="99"/>
    <w:qFormat/>
    <w:rsid w:val="00372c99"/>
    <w:rPr/>
  </w:style>
  <w:style w:type="character" w:styleId="ListLabel1">
    <w:name w:val="ListLabel 1"/>
    <w:qFormat/>
    <w:rPr>
      <w:rFonts w:ascii="Arial" w:hAnsi="Arial"/>
      <w:b/>
      <w:color w:val="000000"/>
      <w:sz w:val="18"/>
    </w:rPr>
  </w:style>
  <w:style w:type="character" w:styleId="ListLabel2">
    <w:name w:val="ListLabel 2"/>
    <w:qFormat/>
    <w:rPr>
      <w:rFonts w:cs="Courier New"/>
    </w:rPr>
  </w:style>
  <w:style w:type="character" w:styleId="ListLabel3">
    <w:name w:val="ListLabel 3"/>
    <w:qFormat/>
    <w:rPr>
      <w:rFonts w:cs="Courier New"/>
    </w:rPr>
  </w:style>
  <w:style w:type="character" w:styleId="ListLabel4">
    <w:name w:val="ListLabel 4"/>
    <w:qFormat/>
    <w:rPr>
      <w:rFonts w:ascii="Arial" w:hAnsi="Arial"/>
      <w:color w:val="000000"/>
      <w:sz w:val="18"/>
    </w:rPr>
  </w:style>
  <w:style w:type="character" w:styleId="ListLabel5">
    <w:name w:val="ListLabel 5"/>
    <w:qFormat/>
    <w:rPr>
      <w:rFonts w:cs="Courier New"/>
    </w:rPr>
  </w:style>
  <w:style w:type="character" w:styleId="ListLabel6">
    <w:name w:val="ListLabel 6"/>
    <w:qFormat/>
    <w:rPr>
      <w:rFonts w:cs="Courier New"/>
    </w:rPr>
  </w:style>
  <w:style w:type="character" w:styleId="ListLabel7">
    <w:name w:val="ListLabel 7"/>
    <w:qFormat/>
    <w:rPr>
      <w:rFonts w:cs="Courier New"/>
    </w:rPr>
  </w:style>
  <w:style w:type="character" w:styleId="ListLabel8">
    <w:name w:val="ListLabel 8"/>
    <w:qFormat/>
    <w:rPr>
      <w:rFonts w:cs="Courier New"/>
    </w:rPr>
  </w:style>
  <w:style w:type="character" w:styleId="ListLabel9">
    <w:name w:val="ListLabel 9"/>
    <w:qFormat/>
    <w:rPr>
      <w:rFonts w:cs="Courier New"/>
    </w:rPr>
  </w:style>
  <w:style w:type="character" w:styleId="ListLabel10">
    <w:name w:val="ListLabel 10"/>
    <w:qFormat/>
    <w:rPr>
      <w:rFonts w:cs="Courier New"/>
    </w:rPr>
  </w:style>
  <w:style w:type="character" w:styleId="ListLabel11">
    <w:name w:val="ListLabel 11"/>
    <w:qFormat/>
    <w:rPr>
      <w:rFonts w:cs="Courier New"/>
    </w:rPr>
  </w:style>
  <w:style w:type="character" w:styleId="ListLabel12">
    <w:name w:val="ListLabel 12"/>
    <w:qFormat/>
    <w:rPr>
      <w:rFonts w:cs="Courier New"/>
    </w:rPr>
  </w:style>
  <w:style w:type="character" w:styleId="ListLabel13">
    <w:name w:val="ListLabel 13"/>
    <w:qFormat/>
    <w:rPr>
      <w:rFonts w:cs="Courier New"/>
    </w:rPr>
  </w:style>
  <w:style w:type="character" w:styleId="ListLabel14">
    <w:name w:val="ListLabel 14"/>
    <w:qFormat/>
    <w:rPr>
      <w:rFonts w:cs="Courier New"/>
    </w:rPr>
  </w:style>
  <w:style w:type="character" w:styleId="ListLabel15">
    <w:name w:val="ListLabel 15"/>
    <w:qFormat/>
    <w:rPr>
      <w:rFonts w:cs="Courier New"/>
    </w:rPr>
  </w:style>
  <w:style w:type="character" w:styleId="ListLabel16">
    <w:name w:val="ListLabel 16"/>
    <w:qFormat/>
    <w:rPr>
      <w:rFonts w:cs="Courier New"/>
    </w:rPr>
  </w:style>
  <w:style w:type="character" w:styleId="ListLabel17">
    <w:name w:val="ListLabel 17"/>
    <w:qFormat/>
    <w:rPr>
      <w:rFonts w:eastAsia="Calibri" w:cs="Arial"/>
    </w:rPr>
  </w:style>
  <w:style w:type="character" w:styleId="ListLabel18">
    <w:name w:val="ListLabel 18"/>
    <w:qFormat/>
    <w:rPr>
      <w:rFonts w:cs="Courier New"/>
    </w:rPr>
  </w:style>
  <w:style w:type="character" w:styleId="ListLabel19">
    <w:name w:val="ListLabel 19"/>
    <w:qFormat/>
    <w:rPr>
      <w:rFonts w:cs="Courier New"/>
    </w:rPr>
  </w:style>
  <w:style w:type="character" w:styleId="ListLabel20">
    <w:name w:val="ListLabel 20"/>
    <w:qFormat/>
    <w:rPr>
      <w:rFonts w:cs="Courier New"/>
    </w:rPr>
  </w:style>
  <w:style w:type="character" w:styleId="ListLabel21">
    <w:name w:val="ListLabel 21"/>
    <w:qFormat/>
    <w:rPr>
      <w:rFonts w:cs="Courier New"/>
    </w:rPr>
  </w:style>
  <w:style w:type="character" w:styleId="ListLabel22">
    <w:name w:val="ListLabel 22"/>
    <w:qFormat/>
    <w:rPr>
      <w:rFonts w:cs="Courier New"/>
    </w:rPr>
  </w:style>
  <w:style w:type="character" w:styleId="ListLabel23">
    <w:name w:val="ListLabel 23"/>
    <w:qFormat/>
    <w:rPr>
      <w:rFonts w:cs="Courier New"/>
    </w:rPr>
  </w:style>
  <w:style w:type="character" w:styleId="ListLabel24">
    <w:name w:val="ListLabel 24"/>
    <w:qFormat/>
    <w:rPr>
      <w:rFonts w:cs="Courier New"/>
    </w:rPr>
  </w:style>
  <w:style w:type="character" w:styleId="ListLabel25">
    <w:name w:val="ListLabel 25"/>
    <w:qFormat/>
    <w:rPr>
      <w:rFonts w:cs="Courier New"/>
    </w:rPr>
  </w:style>
  <w:style w:type="character" w:styleId="ListLabel26">
    <w:name w:val="ListLabel 26"/>
    <w:qFormat/>
    <w:rPr>
      <w:rFonts w:cs="Courier New"/>
    </w:rPr>
  </w:style>
  <w:style w:type="character" w:styleId="ListLabel27">
    <w:name w:val="ListLabel 27"/>
    <w:qFormat/>
    <w:rPr>
      <w:rFonts w:cs="Courier New"/>
    </w:rPr>
  </w:style>
  <w:style w:type="character" w:styleId="ListLabel28">
    <w:name w:val="ListLabel 28"/>
    <w:qFormat/>
    <w:rPr>
      <w:rFonts w:cs="Courier New"/>
    </w:rPr>
  </w:style>
  <w:style w:type="character" w:styleId="ListLabel29">
    <w:name w:val="ListLabel 29"/>
    <w:qFormat/>
    <w:rPr>
      <w:rFonts w:cs="Courier New"/>
    </w:rPr>
  </w:style>
  <w:style w:type="character" w:styleId="ListLabel30">
    <w:name w:val="ListLabel 30"/>
    <w:qFormat/>
    <w:rPr>
      <w:rFonts w:cs="Courier New"/>
    </w:rPr>
  </w:style>
  <w:style w:type="character" w:styleId="ListLabel31">
    <w:name w:val="ListLabel 31"/>
    <w:qFormat/>
    <w:rPr>
      <w:rFonts w:cs="Courier New"/>
    </w:rPr>
  </w:style>
  <w:style w:type="character" w:styleId="ListLabel32">
    <w:name w:val="ListLabel 32"/>
    <w:qFormat/>
    <w:rPr>
      <w:rFonts w:cs="Courier New"/>
    </w:rPr>
  </w:style>
  <w:style w:type="character" w:styleId="ListLabel33">
    <w:name w:val="ListLabel 33"/>
    <w:qFormat/>
    <w:rPr>
      <w:rFonts w:cs="Courier New"/>
    </w:rPr>
  </w:style>
  <w:style w:type="character" w:styleId="ListLabel34">
    <w:name w:val="ListLabel 34"/>
    <w:qFormat/>
    <w:rPr>
      <w:rFonts w:cs="Courier New"/>
    </w:rPr>
  </w:style>
  <w:style w:type="character" w:styleId="ListLabel35">
    <w:name w:val="ListLabel 35"/>
    <w:qFormat/>
    <w:rPr>
      <w:rFonts w:cs="Courier New"/>
    </w:rPr>
  </w:style>
  <w:style w:type="character" w:styleId="ListLabel36">
    <w:name w:val="ListLabel 36"/>
    <w:qFormat/>
    <w:rPr>
      <w:rFonts w:cs="Courier New"/>
    </w:rPr>
  </w:style>
  <w:style w:type="character" w:styleId="ListLabel37">
    <w:name w:val="ListLabel 37"/>
    <w:qFormat/>
    <w:rPr>
      <w:rFonts w:cs="Courier New"/>
    </w:rPr>
  </w:style>
  <w:style w:type="character" w:styleId="ListLabel38">
    <w:name w:val="ListLabel 38"/>
    <w:qFormat/>
    <w:rPr>
      <w:rFonts w:cs="Courier New"/>
    </w:rPr>
  </w:style>
  <w:style w:type="character" w:styleId="ListLabel39">
    <w:name w:val="ListLabel 39"/>
    <w:qFormat/>
    <w:rPr>
      <w:rFonts w:cs="Courier New"/>
    </w:rPr>
  </w:style>
  <w:style w:type="character" w:styleId="ListLabel40">
    <w:name w:val="ListLabel 40"/>
    <w:qFormat/>
    <w:rPr>
      <w:rFonts w:cs="Courier New"/>
    </w:rPr>
  </w:style>
  <w:style w:type="character" w:styleId="ListLabel41">
    <w:name w:val="ListLabel 41"/>
    <w:qFormat/>
    <w:rPr>
      <w:rFonts w:cs="Courier New"/>
    </w:rPr>
  </w:style>
  <w:style w:type="character" w:styleId="ListLabel42">
    <w:name w:val="ListLabel 42"/>
    <w:qFormat/>
    <w:rPr>
      <w:rFonts w:ascii="Arial" w:hAnsi="Arial" w:cs="Arial"/>
      <w:color w:val="auto"/>
      <w:sz w:val="18"/>
      <w:szCs w:val="18"/>
    </w:rPr>
  </w:style>
  <w:style w:type="character" w:styleId="ListLabel43">
    <w:name w:val="ListLabel 43"/>
    <w:qFormat/>
    <w:rPr>
      <w:rFonts w:ascii="Arial" w:hAnsi="Arial" w:cs="Arial"/>
      <w:sz w:val="18"/>
      <w:szCs w:val="18"/>
    </w:rPr>
  </w:style>
  <w:style w:type="character" w:styleId="ListLabel44">
    <w:name w:val="ListLabel 44"/>
    <w:qFormat/>
    <w:rPr>
      <w:rFonts w:ascii="Arial" w:hAnsi="Arial" w:cs="Symbol"/>
      <w:b/>
      <w:color w:val="000000"/>
      <w:sz w:val="18"/>
    </w:rPr>
  </w:style>
  <w:style w:type="character" w:styleId="ListLabel45">
    <w:name w:val="ListLabel 45"/>
    <w:qFormat/>
    <w:rPr>
      <w:rFonts w:cs="Symbol"/>
    </w:rPr>
  </w:style>
  <w:style w:type="character" w:styleId="ListLabel46">
    <w:name w:val="ListLabel 46"/>
    <w:qFormat/>
    <w:rPr>
      <w:rFonts w:cs="Wingdings"/>
    </w:rPr>
  </w:style>
  <w:style w:type="character" w:styleId="ListLabel47">
    <w:name w:val="ListLabel 47"/>
    <w:qFormat/>
    <w:rPr>
      <w:rFonts w:cs="Symbol"/>
    </w:rPr>
  </w:style>
  <w:style w:type="character" w:styleId="ListLabel48">
    <w:name w:val="ListLabel 48"/>
    <w:qFormat/>
    <w:rPr>
      <w:rFonts w:cs="Courier New"/>
    </w:rPr>
  </w:style>
  <w:style w:type="character" w:styleId="ListLabel49">
    <w:name w:val="ListLabel 49"/>
    <w:qFormat/>
    <w:rPr>
      <w:rFonts w:cs="Wingdings"/>
    </w:rPr>
  </w:style>
  <w:style w:type="character" w:styleId="ListLabel50">
    <w:name w:val="ListLabel 50"/>
    <w:qFormat/>
    <w:rPr>
      <w:rFonts w:cs="Symbol"/>
    </w:rPr>
  </w:style>
  <w:style w:type="character" w:styleId="ListLabel51">
    <w:name w:val="ListLabel 51"/>
    <w:qFormat/>
    <w:rPr>
      <w:rFonts w:cs="Courier New"/>
    </w:rPr>
  </w:style>
  <w:style w:type="character" w:styleId="ListLabel52">
    <w:name w:val="ListLabel 52"/>
    <w:qFormat/>
    <w:rPr>
      <w:rFonts w:cs="Wingdings"/>
    </w:rPr>
  </w:style>
  <w:style w:type="character" w:styleId="ListLabel53">
    <w:name w:val="ListLabel 53"/>
    <w:qFormat/>
    <w:rPr>
      <w:rFonts w:ascii="Arial" w:hAnsi="Arial"/>
      <w:color w:val="000000"/>
      <w:sz w:val="18"/>
    </w:rPr>
  </w:style>
  <w:style w:type="character" w:styleId="ListLabel54">
    <w:name w:val="ListLabel 54"/>
    <w:qFormat/>
    <w:rPr>
      <w:rFonts w:ascii="Arial" w:hAnsi="Arial" w:cs="Symbol"/>
      <w:sz w:val="18"/>
    </w:rPr>
  </w:style>
  <w:style w:type="character" w:styleId="ListLabel55">
    <w:name w:val="ListLabel 55"/>
    <w:qFormat/>
    <w:rPr>
      <w:rFonts w:cs="Courier New"/>
    </w:rPr>
  </w:style>
  <w:style w:type="character" w:styleId="ListLabel56">
    <w:name w:val="ListLabel 56"/>
    <w:qFormat/>
    <w:rPr>
      <w:rFonts w:cs="Wingdings"/>
    </w:rPr>
  </w:style>
  <w:style w:type="character" w:styleId="ListLabel57">
    <w:name w:val="ListLabel 57"/>
    <w:qFormat/>
    <w:rPr>
      <w:rFonts w:cs="Symbol"/>
    </w:rPr>
  </w:style>
  <w:style w:type="character" w:styleId="ListLabel58">
    <w:name w:val="ListLabel 58"/>
    <w:qFormat/>
    <w:rPr>
      <w:rFonts w:cs="Courier New"/>
    </w:rPr>
  </w:style>
  <w:style w:type="character" w:styleId="ListLabel59">
    <w:name w:val="ListLabel 59"/>
    <w:qFormat/>
    <w:rPr>
      <w:rFonts w:cs="Wingdings"/>
    </w:rPr>
  </w:style>
  <w:style w:type="character" w:styleId="ListLabel60">
    <w:name w:val="ListLabel 60"/>
    <w:qFormat/>
    <w:rPr>
      <w:rFonts w:cs="Symbol"/>
    </w:rPr>
  </w:style>
  <w:style w:type="character" w:styleId="ListLabel61">
    <w:name w:val="ListLabel 61"/>
    <w:qFormat/>
    <w:rPr>
      <w:rFonts w:cs="Courier New"/>
    </w:rPr>
  </w:style>
  <w:style w:type="character" w:styleId="ListLabel62">
    <w:name w:val="ListLabel 62"/>
    <w:qFormat/>
    <w:rPr>
      <w:rFonts w:cs="Wingdings"/>
    </w:rPr>
  </w:style>
  <w:style w:type="character" w:styleId="ListLabel63">
    <w:name w:val="ListLabel 63"/>
    <w:qFormat/>
    <w:rPr>
      <w:rFonts w:ascii="Arial" w:hAnsi="Arial" w:cs="Arial"/>
      <w:sz w:val="18"/>
      <w:szCs w:val="18"/>
    </w:rPr>
  </w:style>
  <w:style w:type="character" w:styleId="ListLabel64">
    <w:name w:val="ListLabel 64"/>
    <w:qFormat/>
    <w:rPr>
      <w:rFonts w:ascii="Arial" w:hAnsi="Arial" w:cs="Arial"/>
      <w:color w:val="auto"/>
      <w:sz w:val="18"/>
      <w:szCs w:val="18"/>
    </w:rPr>
  </w:style>
  <w:style w:type="character" w:styleId="ListLabel65">
    <w:name w:val="ListLabel 65"/>
    <w:qFormat/>
    <w:rPr>
      <w:rFonts w:ascii="Arial" w:hAnsi="Arial" w:cs="Arial"/>
      <w:sz w:val="18"/>
      <w:szCs w:val="18"/>
    </w:rPr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retekstu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Tretekstu"/>
    <w:pPr/>
    <w:rPr>
      <w:rFonts w:cs="Arial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"/>
    </w:rPr>
  </w:style>
  <w:style w:type="paragraph" w:styleId="ListParagraph">
    <w:name w:val="List Paragraph"/>
    <w:basedOn w:val="Normal"/>
    <w:uiPriority w:val="34"/>
    <w:qFormat/>
    <w:rsid w:val="002a3270"/>
    <w:pPr>
      <w:spacing w:before="0" w:after="160"/>
      <w:ind w:left="720" w:hanging="0"/>
      <w:contextualSpacing/>
    </w:pPr>
    <w:rPr/>
  </w:style>
  <w:style w:type="paragraph" w:styleId="Annotationtext">
    <w:name w:val="annotation text"/>
    <w:basedOn w:val="Normal"/>
    <w:link w:val="TekstkomentarzaZnak"/>
    <w:uiPriority w:val="99"/>
    <w:unhideWhenUsed/>
    <w:qFormat/>
    <w:rsid w:val="00445810"/>
    <w:pPr>
      <w:spacing w:lineRule="auto" w:line="240"/>
    </w:pPr>
    <w:rPr>
      <w:sz w:val="20"/>
      <w:szCs w:val="20"/>
    </w:rPr>
  </w:style>
  <w:style w:type="paragraph" w:styleId="Annotationsubject">
    <w:name w:val="annotation subject"/>
    <w:basedOn w:val="Annotationtext"/>
    <w:next w:val="Annotationtext"/>
    <w:link w:val="TematkomentarzaZnak"/>
    <w:uiPriority w:val="99"/>
    <w:semiHidden/>
    <w:unhideWhenUsed/>
    <w:qFormat/>
    <w:rsid w:val="00445810"/>
    <w:pPr/>
    <w:rPr>
      <w:b/>
      <w:bCs/>
    </w:rPr>
  </w:style>
  <w:style w:type="paragraph" w:styleId="BalloonText">
    <w:name w:val="Balloon Text"/>
    <w:basedOn w:val="Normal"/>
    <w:link w:val="TekstdymkaZnak"/>
    <w:uiPriority w:val="99"/>
    <w:semiHidden/>
    <w:unhideWhenUsed/>
    <w:qFormat/>
    <w:rsid w:val="00445810"/>
    <w:pPr>
      <w:spacing w:lineRule="auto" w:line="240" w:before="0" w:after="0"/>
    </w:pPr>
    <w:rPr>
      <w:rFonts w:ascii="Segoe UI" w:hAnsi="Segoe UI" w:cs="Segoe UI"/>
      <w:sz w:val="18"/>
      <w:szCs w:val="18"/>
    </w:rPr>
  </w:style>
  <w:style w:type="paragraph" w:styleId="Revision">
    <w:name w:val="Revision"/>
    <w:uiPriority w:val="99"/>
    <w:semiHidden/>
    <w:qFormat/>
    <w:rsid w:val="001c0689"/>
    <w:pPr>
      <w:widowControl/>
      <w:bidi w:val="0"/>
      <w:spacing w:lineRule="auto" w:line="240" w:before="0" w:after="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l-PL" w:eastAsia="en-US" w:bidi="ar-SA"/>
    </w:rPr>
  </w:style>
  <w:style w:type="paragraph" w:styleId="Przypiskocowy">
    <w:name w:val="Endnote Text"/>
    <w:basedOn w:val="Normal"/>
    <w:link w:val="TekstprzypisukocowegoZnak"/>
    <w:uiPriority w:val="99"/>
    <w:semiHidden/>
    <w:unhideWhenUsed/>
    <w:rsid w:val="00bb79f9"/>
    <w:pPr>
      <w:spacing w:lineRule="auto" w:line="240" w:before="0" w:after="0"/>
    </w:pPr>
    <w:rPr>
      <w:sz w:val="20"/>
      <w:szCs w:val="20"/>
    </w:rPr>
  </w:style>
  <w:style w:type="paragraph" w:styleId="Gwka">
    <w:name w:val="Header"/>
    <w:basedOn w:val="Normal"/>
    <w:link w:val="NagwekZnak"/>
    <w:uiPriority w:val="99"/>
    <w:unhideWhenUsed/>
    <w:rsid w:val="00372c99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Stopka">
    <w:name w:val="Footer"/>
    <w:basedOn w:val="Normal"/>
    <w:link w:val="StopkaZnak"/>
    <w:uiPriority w:val="99"/>
    <w:unhideWhenUsed/>
    <w:rsid w:val="00372c99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Tabela-Siatka">
    <w:name w:val="Table Grid"/>
    <w:basedOn w:val="Standardowy"/>
    <w:uiPriority w:val="39"/>
    <w:rsid w:val="002a3270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iod@zamosc.pl" TargetMode="External"/><Relationship Id="rId3" Type="http://schemas.openxmlformats.org/officeDocument/2006/relationships/hyperlink" Target="mailto:kancelaria@cyfra.gov.pl" TargetMode="External"/><Relationship Id="rId4" Type="http://schemas.openxmlformats.org/officeDocument/2006/relationships/hyperlink" Target="mailto:iod@msz.gov.pl" TargetMode="External"/><Relationship Id="rId5" Type="http://schemas.openxmlformats.org/officeDocument/2006/relationships/hyperlink" Target="mailto:iod@zamosc.pl" TargetMode="External"/><Relationship Id="rId6" Type="http://schemas.openxmlformats.org/officeDocument/2006/relationships/hyperlink" Target="https://www.google.pl/search?q=biuro+generalnego+inspektora+ochrony+danych+osobowych+adres&amp;stick=H4sIAAAAAAAAAOPgE-LWT9c3NDKoMjc0ytOSzU620s_JT04syczPgzOsElNSilKLiwFJtQBiLgAAAA&amp;sa=X&amp;ved=0ahUKEwjglejVso7bAhXDCiwKHYlpCKsQ6BMI2wEwEw" TargetMode="External"/><Relationship Id="rId7" Type="http://schemas.openxmlformats.org/officeDocument/2006/relationships/numbering" Target="numbering.xml"/><Relationship Id="rId8" Type="http://schemas.openxmlformats.org/officeDocument/2006/relationships/fontTable" Target="fontTable.xml"/><Relationship Id="rId9" Type="http://schemas.openxmlformats.org/officeDocument/2006/relationships/settings" Target="settings.xml"/><Relationship Id="rId10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Application>LibreOffice/6.1.3.2$Windows_X86_64 LibreOffice_project/86daf60bf00efa86ad547e59e09d6bb77c699acb</Application>
  <Pages>3</Pages>
  <Words>1027</Words>
  <Characters>6885</Characters>
  <CharactersWithSpaces>7906</CharactersWithSpaces>
  <Paragraphs>48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2024-05-20T10:15:00Z</dcterms:created>
  <dc:creator/>
  <dc:description/>
  <dc:language>pl-PL</dc:language>
  <cp:lastModifiedBy/>
  <dcterms:modified xsi:type="dcterms:W3CDTF">2025-10-13T09:45:03Z</dcterms:modified>
  <cp:revision>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